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:rsidR="00E15109" w:rsidRDefault="00221B6A" w14:paraId="3BA381B3" w14:textId="77777777">
      <w:pPr>
        <w:spacing w:before="240" w:after="240"/>
        <w:rPr>
          <w:b/>
        </w:rPr>
      </w:pPr>
      <w:r>
        <w:rPr>
          <w:b/>
        </w:rPr>
        <w:t>Year 9 – 10</w:t>
      </w:r>
    </w:p>
    <w:p w:rsidR="00E15109" w:rsidRDefault="00E15109" w14:paraId="0AB3835A" w14:textId="77777777">
      <w:pPr>
        <w:spacing w:before="240"/>
        <w:rPr>
          <w:b/>
        </w:rPr>
      </w:pPr>
    </w:p>
    <w:tbl>
      <w:tblPr>
        <w:tblStyle w:val="a"/>
        <w:tblW w:w="1046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5233"/>
        <w:gridCol w:w="5234"/>
      </w:tblGrid>
      <w:tr w:rsidR="00E15109" w14:paraId="3A6F1B4C" w14:textId="77777777">
        <w:tc>
          <w:tcPr>
            <w:tcW w:w="5233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109" w:rsidRDefault="00221B6A" w14:paraId="23C2C69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5233" w:type="dxa"/>
            <w:shd w:val="clear" w:color="auto" w:fill="B4A7D6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109" w:rsidRDefault="00221B6A" w14:paraId="0248B5B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Know</w:t>
            </w:r>
          </w:p>
        </w:tc>
      </w:tr>
      <w:tr w:rsidR="00E15109" w14:paraId="7FCF840E" w14:textId="77777777"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109" w:rsidRDefault="00221B6A" w14:paraId="5376FDD7" w14:textId="77777777">
            <w:pPr>
              <w:spacing w:before="240"/>
            </w:pPr>
            <w:r>
              <w:t>People participate in communities by acting on their beliefs and through the roles they hold.</w:t>
            </w:r>
          </w:p>
          <w:p w:rsidR="00E15109" w:rsidRDefault="00E15109" w14:paraId="16F4F9AC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  <w:tc>
          <w:tcPr>
            <w:tcW w:w="523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15109" w:rsidRDefault="00E15109" w14:paraId="4F1B09C9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  <w:p w:rsidR="00E15109" w:rsidRDefault="00221B6A" w14:paraId="5B5336BD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 will know that…. together, people assert their human rights and attempt to influence change in a range of ways, with differing impacts.</w:t>
            </w:r>
          </w:p>
          <w:p w:rsidR="00E15109" w:rsidRDefault="00221B6A" w14:paraId="2267DEE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 </w:t>
            </w:r>
          </w:p>
          <w:p w:rsidR="00E15109" w:rsidRDefault="00221B6A" w14:paraId="05DE3F00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 will know that</w:t>
            </w:r>
            <w:proofErr w:type="gramStart"/>
            <w:r>
              <w:t>….the</w:t>
            </w:r>
            <w:proofErr w:type="gramEnd"/>
            <w:r>
              <w:t xml:space="preserve"> uneven acquisition and allocation of scarce resources, goods and services, and wealth creates </w:t>
            </w:r>
            <w:r>
              <w:t>personal, societal, and global challenges. These challenges lead to individual and collective action.</w:t>
            </w:r>
          </w:p>
          <w:p w:rsidR="00E15109" w:rsidRDefault="00221B6A" w14:paraId="3A238DA3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 xml:space="preserve"> </w:t>
            </w:r>
          </w:p>
          <w:p w:rsidR="00E15109" w:rsidRDefault="00221B6A" w14:paraId="00FD6742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I will know that… through innovation and enterprise, individuals, communities, and societies create new opportunities. These opportunities can enrich or</w:t>
            </w:r>
            <w:r>
              <w:t xml:space="preserve"> damage lives, challenge views about needs and wants, and impact on sustainability.</w:t>
            </w:r>
          </w:p>
          <w:p w:rsidR="00E15109" w:rsidRDefault="00E15109" w14:paraId="146EF591" w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</w:rPr>
            </w:pPr>
          </w:p>
        </w:tc>
      </w:tr>
    </w:tbl>
    <w:p w:rsidR="00E15109" w:rsidRDefault="00221B6A" w14:paraId="570A0442" w14:textId="77777777">
      <w:pPr>
        <w:spacing w:before="240"/>
      </w:pPr>
      <w:r>
        <w:t xml:space="preserve"> </w:t>
      </w:r>
    </w:p>
    <w:tbl>
      <w:tblPr>
        <w:tblStyle w:val="a0"/>
        <w:tblW w:w="1045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830"/>
        <w:gridCol w:w="4755"/>
        <w:gridCol w:w="3870"/>
      </w:tblGrid>
      <w:tr w:rsidR="00E15109" w:rsidTr="79C31831" w14:paraId="1B875F58" w14:textId="77777777">
        <w:trPr>
          <w:trHeight w:val="1238"/>
        </w:trPr>
        <w:tc>
          <w:tcPr>
            <w:tcW w:w="1830" w:type="dxa"/>
            <w:tcBorders>
              <w:top w:val="single" w:color="000000" w:themeColor="text1" w:sz="5" w:space="0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C000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36524140" w14:textId="77777777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Topic</w:t>
            </w:r>
          </w:p>
        </w:tc>
        <w:tc>
          <w:tcPr>
            <w:tcW w:w="4755" w:type="dxa"/>
            <w:tcBorders>
              <w:top w:val="single" w:color="000000" w:themeColor="text1" w:sz="5" w:space="0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C000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0C9E15F6" w14:textId="77777777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Do</w:t>
            </w:r>
          </w:p>
          <w:p w:rsidR="00E15109" w:rsidRDefault="00221B6A" w14:paraId="27BD2C73" w14:textId="77777777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In my learning in </w:t>
            </w:r>
            <w:proofErr w:type="spellStart"/>
            <w:r>
              <w:rPr>
                <w:i/>
              </w:rPr>
              <w:t>te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ao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tangata</w:t>
            </w:r>
            <w:proofErr w:type="spellEnd"/>
            <w:r>
              <w:rPr>
                <w:i/>
              </w:rPr>
              <w:t xml:space="preserve"> | social sciences, I can…</w:t>
            </w:r>
          </w:p>
        </w:tc>
        <w:tc>
          <w:tcPr>
            <w:tcW w:w="3870" w:type="dxa"/>
            <w:tcBorders>
              <w:top w:val="single" w:color="000000" w:themeColor="text1" w:sz="5" w:space="0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C000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1F5F0674" w14:textId="77777777">
            <w:pPr>
              <w:spacing w:before="240"/>
              <w:jc w:val="center"/>
              <w:rPr>
                <w:b/>
              </w:rPr>
            </w:pPr>
            <w:r>
              <w:rPr>
                <w:b/>
              </w:rPr>
              <w:t>How</w:t>
            </w:r>
          </w:p>
        </w:tc>
      </w:tr>
      <w:tr w:rsidR="00E15109" w:rsidTr="79C31831" w14:paraId="15E88819" w14:textId="77777777">
        <w:trPr>
          <w:trHeight w:val="3210"/>
        </w:trPr>
        <w:tc>
          <w:tcPr>
            <w:tcW w:w="1830" w:type="dxa"/>
            <w:tcBorders>
              <w:top w:val="nil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33616639" w14:textId="77777777">
            <w:pPr>
              <w:spacing w:before="240"/>
              <w:rPr>
                <w:i/>
              </w:rPr>
            </w:pPr>
            <w:r>
              <w:rPr>
                <w:i/>
              </w:rPr>
              <w:t>What issues do some people face in our world?</w:t>
            </w:r>
          </w:p>
          <w:p w:rsidR="00E15109" w:rsidRDefault="00221B6A" w14:paraId="3A9B5579" w14:textId="77777777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 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742AE8B5" w14:textId="77777777">
            <w:pPr>
              <w:spacing w:before="240"/>
              <w:rPr>
                <w:b/>
              </w:rPr>
            </w:pPr>
            <w:r>
              <w:rPr>
                <w:b/>
              </w:rPr>
              <w:t xml:space="preserve">Collecting, </w:t>
            </w:r>
            <w:proofErr w:type="gramStart"/>
            <w:r>
              <w:rPr>
                <w:b/>
              </w:rPr>
              <w:t>analysing</w:t>
            </w:r>
            <w:proofErr w:type="gramEnd"/>
            <w:r>
              <w:rPr>
                <w:b/>
              </w:rPr>
              <w:t xml:space="preserve"> and using sources</w:t>
            </w:r>
          </w:p>
          <w:p w:rsidR="00E15109" w:rsidRDefault="00221B6A" w14:paraId="2D2E5B38" w14:textId="77777777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engage</w:t>
            </w:r>
            <w:proofErr w:type="gramEnd"/>
            <w:r>
              <w:t xml:space="preserve"> with sources and people in the community ethically and with generosity and care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666E49BC" w14:textId="77777777">
            <w:pPr>
              <w:spacing w:before="240"/>
              <w:ind w:left="360"/>
            </w:pPr>
            <w:r>
              <w:t>1.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</w:t>
            </w:r>
            <w:r>
              <w:t>What is blindness? What types of blindness are there?</w:t>
            </w:r>
          </w:p>
          <w:p w:rsidR="00E15109" w:rsidRDefault="00221B6A" w14:paraId="300F9BB2" w14:textId="77777777">
            <w:pPr>
              <w:spacing w:before="240"/>
              <w:ind w:left="360"/>
            </w:pPr>
            <w:r>
              <w:t>2.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</w:t>
            </w:r>
            <w:r>
              <w:t>What are the causes?</w:t>
            </w:r>
          </w:p>
          <w:p w:rsidR="00E15109" w:rsidRDefault="00221B6A" w14:paraId="61D4D2CE" w14:textId="77777777">
            <w:pPr>
              <w:spacing w:before="240"/>
              <w:ind w:left="360"/>
            </w:pPr>
            <w:r>
              <w:t>3.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</w:t>
            </w:r>
            <w:r>
              <w:t>Where and why is it exace</w:t>
            </w:r>
            <w:r>
              <w:t>rbated? (</w:t>
            </w:r>
            <w:proofErr w:type="gramStart"/>
            <w:r>
              <w:t>explore</w:t>
            </w:r>
            <w:proofErr w:type="gramEnd"/>
            <w:r>
              <w:t xml:space="preserve"> resource allocation leading to Fred &amp; Foundation making individual and collective action)</w:t>
            </w:r>
          </w:p>
          <w:p w:rsidR="00E15109" w:rsidRDefault="00221B6A" w14:paraId="3CA80C31" w14:textId="77777777">
            <w:pPr>
              <w:spacing w:before="240"/>
            </w:pPr>
            <w:r>
              <w:t xml:space="preserve"> </w:t>
            </w:r>
          </w:p>
        </w:tc>
      </w:tr>
      <w:tr w:rsidR="00E15109" w:rsidTr="79C31831" w14:paraId="5E2306BF" w14:textId="77777777">
        <w:trPr>
          <w:trHeight w:val="4860"/>
        </w:trPr>
        <w:tc>
          <w:tcPr>
            <w:tcW w:w="1830" w:type="dxa"/>
            <w:tcBorders>
              <w:top w:val="nil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14B9E7D3" w14:textId="77777777">
            <w:pPr>
              <w:spacing w:before="240"/>
              <w:rPr>
                <w:i/>
              </w:rPr>
            </w:pPr>
            <w:r>
              <w:rPr>
                <w:i/>
              </w:rPr>
              <w:lastRenderedPageBreak/>
              <w:t>Fred Hollows – a pioneer?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3AFF3ABB" w14:textId="77777777">
            <w:pPr>
              <w:spacing w:before="240"/>
              <w:rPr>
                <w:b/>
              </w:rPr>
            </w:pPr>
            <w:r>
              <w:rPr>
                <w:b/>
              </w:rPr>
              <w:t xml:space="preserve">Asking rich questions to guide worthy </w:t>
            </w:r>
            <w:proofErr w:type="gramStart"/>
            <w:r>
              <w:rPr>
                <w:b/>
              </w:rPr>
              <w:t>investigations</w:t>
            </w:r>
            <w:proofErr w:type="gramEnd"/>
          </w:p>
          <w:p w:rsidR="00E15109" w:rsidRDefault="00221B6A" w14:paraId="6C7CF0CC" w14:textId="77777777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ask</w:t>
            </w:r>
            <w:proofErr w:type="gramEnd"/>
            <w:r>
              <w:t xml:space="preserve"> challenging or provocative questions about social issues and ideas that I can investigate with others.</w:t>
            </w:r>
          </w:p>
          <w:p w:rsidR="00E15109" w:rsidRDefault="00221B6A" w14:paraId="102EAC49" w14:textId="77777777">
            <w:pPr>
              <w:spacing w:before="240"/>
              <w:rPr>
                <w:b/>
              </w:rPr>
            </w:pPr>
            <w:r>
              <w:rPr>
                <w:b/>
              </w:rPr>
              <w:t xml:space="preserve"> Identifying values and perspectives</w:t>
            </w:r>
          </w:p>
          <w:p w:rsidR="00E15109" w:rsidRDefault="00221B6A" w14:paraId="69942ED4" w14:textId="77777777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develop</w:t>
            </w:r>
            <w:proofErr w:type="gramEnd"/>
            <w:r>
              <w:t xml:space="preserve"> frameworks and criteria for analysing perspectives and considering why people think and act the </w:t>
            </w:r>
            <w:r>
              <w:t>way they do</w:t>
            </w:r>
          </w:p>
          <w:p w:rsidR="00E15109" w:rsidRDefault="00221B6A" w14:paraId="74D571B3" w14:textId="77777777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use</w:t>
            </w:r>
            <w:proofErr w:type="gramEnd"/>
            <w:r>
              <w:t xml:space="preserve"> tools to identify and respond to attempts to influence or manipulate people’s values, perspectives, and actions.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3B77D571" w14:textId="77777777">
            <w:pPr>
              <w:spacing w:before="240"/>
              <w:ind w:left="360"/>
            </w:pPr>
            <w:r>
              <w:t>1.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</w:t>
            </w:r>
            <w:r>
              <w:t>Who was Fred Hollows? What motivated him?</w:t>
            </w:r>
          </w:p>
          <w:p w:rsidR="00E15109" w:rsidRDefault="00221B6A" w14:paraId="7F441BCD" w14:textId="77777777">
            <w:pPr>
              <w:spacing w:before="240"/>
              <w:ind w:left="360"/>
            </w:pPr>
            <w:r>
              <w:t>2.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</w:t>
            </w:r>
            <w:r>
              <w:t>What is innovation and enterprise? How did Fred show this?</w:t>
            </w:r>
          </w:p>
          <w:p w:rsidR="00E15109" w:rsidRDefault="00221B6A" w14:paraId="72EB79CF" w14:textId="77777777">
            <w:pPr>
              <w:spacing w:before="240"/>
              <w:ind w:left="360"/>
            </w:pPr>
            <w:r>
              <w:t>3.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</w:t>
            </w:r>
            <w:r>
              <w:t>Explore the impact of Fred’s work in changing lives, and challenging views about needs and wants</w:t>
            </w:r>
          </w:p>
          <w:p w:rsidR="00E15109" w:rsidRDefault="00221B6A" w14:paraId="4EAD0198" w14:textId="77777777">
            <w:pPr>
              <w:spacing w:before="240"/>
            </w:pPr>
            <w:r>
              <w:t xml:space="preserve"> </w:t>
            </w:r>
          </w:p>
        </w:tc>
      </w:tr>
      <w:tr w:rsidR="00E15109" w:rsidTr="79C31831" w14:paraId="18023AC3" w14:textId="77777777">
        <w:trPr>
          <w:trHeight w:val="4065"/>
        </w:trPr>
        <w:tc>
          <w:tcPr>
            <w:tcW w:w="1830" w:type="dxa"/>
            <w:tcBorders>
              <w:top w:val="nil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00C6C820" w14:textId="77777777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E15109" w:rsidP="79C31831" w:rsidRDefault="00221B6A" w14:paraId="64F814F7" w14:textId="1CACC945">
            <w:pPr>
              <w:spacing w:before="240"/>
              <w:rPr>
                <w:i w:val="1"/>
                <w:iCs w:val="1"/>
              </w:rPr>
            </w:pPr>
            <w:r w:rsidRPr="79C31831" w:rsidR="6B91BD52">
              <w:rPr>
                <w:i w:val="1"/>
                <w:iCs w:val="1"/>
              </w:rPr>
              <w:t xml:space="preserve">The </w:t>
            </w:r>
            <w:r w:rsidRPr="79C31831" w:rsidR="00221B6A">
              <w:rPr>
                <w:i w:val="1"/>
                <w:iCs w:val="1"/>
              </w:rPr>
              <w:t>Fred Hollows Foundation</w:t>
            </w:r>
            <w:r w:rsidRPr="79C31831" w:rsidR="28F1DC8D">
              <w:rPr>
                <w:i w:val="1"/>
                <w:iCs w:val="1"/>
              </w:rPr>
              <w:t xml:space="preserve"> NZ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1C49416B" w14:textId="77777777">
            <w:pPr>
              <w:spacing w:before="240"/>
              <w:rPr>
                <w:b/>
              </w:rPr>
            </w:pPr>
            <w:r>
              <w:rPr>
                <w:b/>
              </w:rPr>
              <w:t>Analysing decisions and taking social action</w:t>
            </w:r>
          </w:p>
          <w:p w:rsidR="00E15109" w:rsidRDefault="00221B6A" w14:paraId="415F6436" w14:textId="77777777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evaluate</w:t>
            </w:r>
            <w:proofErr w:type="gramEnd"/>
            <w:r>
              <w:t xml:space="preserve"> the impact of social actions and their personal and social significance.</w:t>
            </w:r>
          </w:p>
          <w:p w:rsidR="00E15109" w:rsidRDefault="00221B6A" w14:paraId="03944A41" w14:textId="77777777">
            <w:pPr>
              <w:spacing w:before="240"/>
              <w:rPr>
                <w:b/>
              </w:rPr>
            </w:pPr>
            <w:r>
              <w:t xml:space="preserve"> </w:t>
            </w:r>
            <w:r>
              <w:rPr>
                <w:b/>
              </w:rPr>
              <w:t>Communicating arguments and ideas using social science conventions</w:t>
            </w:r>
          </w:p>
          <w:p w:rsidR="00E15109" w:rsidRDefault="00221B6A" w14:paraId="6AF162E6" w14:textId="77777777">
            <w:pPr>
              <w:spacing w:before="240"/>
              <w:ind w:left="360"/>
            </w:pPr>
            <w:r>
              <w:t>·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communicate</w:t>
            </w:r>
            <w:proofErr w:type="gramEnd"/>
            <w:r>
              <w:t xml:space="preserve"> information using social science conventions (e.g., graphs and maps, comparing and con</w:t>
            </w:r>
            <w:r>
              <w:t>trasting, sorting) to synthesise ideas, present a reasoned argument using evidence, and draw conclusions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496BEFBD" w14:textId="77777777">
            <w:pPr>
              <w:spacing w:before="240"/>
              <w:ind w:left="360"/>
            </w:pPr>
            <w:r>
              <w:t>1.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</w:t>
            </w:r>
            <w:r>
              <w:t>Where does it work? What are the goals?</w:t>
            </w:r>
          </w:p>
          <w:p w:rsidR="00E15109" w:rsidP="79C31831" w:rsidRDefault="00221B6A" w14:paraId="4CD90BF0" w14:textId="118B90F7">
            <w:pPr>
              <w:spacing w:before="240"/>
              <w:ind w:left="360"/>
              <w:rPr>
                <w:i w:val="1"/>
                <w:iCs w:val="1"/>
              </w:rPr>
            </w:pPr>
            <w:r w:rsidR="00221B6A">
              <w:rPr/>
              <w:t>2.</w:t>
            </w:r>
            <w:r w:rsidRPr="79C31831" w:rsidR="00221B6A"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</w:t>
            </w:r>
            <w:r w:rsidR="00221B6A">
              <w:rPr/>
              <w:t xml:space="preserve">How is </w:t>
            </w:r>
            <w:r w:rsidR="7168D63B">
              <w:rPr/>
              <w:t>T</w:t>
            </w:r>
            <w:r w:rsidR="00221B6A">
              <w:rPr/>
              <w:t xml:space="preserve">he Foundation ensuring it is sustainable? </w:t>
            </w:r>
            <w:r w:rsidRPr="79C31831" w:rsidR="00221B6A">
              <w:rPr>
                <w:i w:val="1"/>
                <w:iCs w:val="1"/>
              </w:rPr>
              <w:t>Exploring the Sustainable Development Goals</w:t>
            </w:r>
          </w:p>
          <w:p w:rsidR="00E15109" w:rsidRDefault="00E15109" w14:paraId="3DABCDB4" w14:textId="77777777">
            <w:pPr>
              <w:spacing w:before="240"/>
              <w:ind w:left="360"/>
              <w:rPr>
                <w:i/>
              </w:rPr>
            </w:pPr>
          </w:p>
          <w:p w:rsidR="00E15109" w:rsidRDefault="00221B6A" w14:paraId="02FF523A" w14:textId="77777777">
            <w:pPr>
              <w:spacing w:before="240"/>
            </w:pPr>
            <w:r>
              <w:t xml:space="preserve"> </w:t>
            </w:r>
          </w:p>
        </w:tc>
      </w:tr>
      <w:tr w:rsidR="00E15109" w:rsidTr="79C31831" w14:paraId="727E4EBD" w14:textId="77777777">
        <w:trPr>
          <w:trHeight w:val="7005"/>
        </w:trPr>
        <w:tc>
          <w:tcPr>
            <w:tcW w:w="1830" w:type="dxa"/>
            <w:tcBorders>
              <w:top w:val="nil"/>
              <w:left w:val="single" w:color="000000" w:themeColor="text1" w:sz="5" w:space="0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28950D75" w14:textId="77777777">
            <w:pPr>
              <w:spacing w:before="240"/>
              <w:rPr>
                <w:i/>
              </w:rPr>
            </w:pPr>
            <w:r>
              <w:rPr>
                <w:i/>
              </w:rPr>
              <w:lastRenderedPageBreak/>
              <w:t>Social Action, in Action!</w:t>
            </w:r>
          </w:p>
          <w:p w:rsidR="00E15109" w:rsidRDefault="00221B6A" w14:paraId="7931F7F9" w14:textId="77777777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E15109" w:rsidP="79C31831" w:rsidRDefault="00221B6A" w14:paraId="0D030DB0" w14:textId="783D6D90">
            <w:pPr>
              <w:spacing w:before="240"/>
              <w:rPr>
                <w:i w:val="1"/>
                <w:iCs w:val="1"/>
              </w:rPr>
            </w:pPr>
            <w:r w:rsidRPr="79C31831" w:rsidR="00221B6A">
              <w:rPr>
                <w:i w:val="1"/>
                <w:iCs w:val="1"/>
              </w:rPr>
              <w:t xml:space="preserve">How does </w:t>
            </w:r>
            <w:r w:rsidRPr="79C31831" w:rsidR="3CA456EA">
              <w:rPr>
                <w:i w:val="1"/>
                <w:iCs w:val="1"/>
              </w:rPr>
              <w:t>T</w:t>
            </w:r>
            <w:r w:rsidRPr="79C31831" w:rsidR="00221B6A">
              <w:rPr>
                <w:i w:val="1"/>
                <w:iCs w:val="1"/>
              </w:rPr>
              <w:t xml:space="preserve">he Fred Hollows Foundation </w:t>
            </w:r>
            <w:r w:rsidRPr="79C31831" w:rsidR="1660AEBE">
              <w:rPr>
                <w:i w:val="1"/>
                <w:iCs w:val="1"/>
              </w:rPr>
              <w:t xml:space="preserve">NZ </w:t>
            </w:r>
            <w:r w:rsidRPr="79C31831" w:rsidR="00221B6A">
              <w:rPr>
                <w:i w:val="1"/>
                <w:iCs w:val="1"/>
              </w:rPr>
              <w:t>help others?</w:t>
            </w:r>
          </w:p>
          <w:p w:rsidR="00E15109" w:rsidRDefault="00221B6A" w14:paraId="4930C0B9" w14:textId="77777777">
            <w:pPr>
              <w:spacing w:before="240"/>
              <w:rPr>
                <w:i/>
              </w:rPr>
            </w:pPr>
            <w:r>
              <w:rPr>
                <w:i/>
              </w:rPr>
              <w:t xml:space="preserve"> </w:t>
            </w:r>
          </w:p>
          <w:p w:rsidR="00E15109" w:rsidRDefault="00221B6A" w14:paraId="6E5E645A" w14:textId="77777777">
            <w:pPr>
              <w:spacing w:before="240"/>
            </w:pPr>
            <w:r>
              <w:t>Papua New Guinea Case Study</w:t>
            </w:r>
          </w:p>
        </w:tc>
        <w:tc>
          <w:tcPr>
            <w:tcW w:w="4755" w:type="dxa"/>
            <w:tcBorders>
              <w:top w:val="nil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363CC728" w14:textId="77777777">
            <w:pPr>
              <w:spacing w:before="240"/>
              <w:rPr>
                <w:b/>
              </w:rPr>
            </w:pPr>
            <w:r>
              <w:rPr>
                <w:b/>
              </w:rPr>
              <w:t>Analysing decisions and taking social action</w:t>
            </w:r>
          </w:p>
          <w:p w:rsidR="00E15109" w:rsidRDefault="00221B6A" w14:paraId="54B12A1D" w14:textId="77777777">
            <w:pPr>
              <w:spacing w:before="240" w:after="160" w:line="256" w:lineRule="auto"/>
              <w:ind w:left="360"/>
            </w:pPr>
            <w:r>
              <w:t>·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generate</w:t>
            </w:r>
            <w:proofErr w:type="gramEnd"/>
            <w:r>
              <w:t xml:space="preserve"> a wide range of solutions for societal problems and use evidence and logic to justify</w:t>
            </w:r>
            <w:r>
              <w:t xml:space="preserve"> why some courses of action are better than others recognise the strengths and limitations of social action campaigns</w:t>
            </w:r>
          </w:p>
          <w:p w:rsidR="00E15109" w:rsidRDefault="00221B6A" w14:paraId="2BA9798C" w14:textId="77777777">
            <w:pPr>
              <w:spacing w:before="240" w:after="160" w:line="256" w:lineRule="auto"/>
              <w:ind w:left="360"/>
            </w:pPr>
            <w:r>
              <w:t>·</w:t>
            </w:r>
            <w:r>
              <w:rPr>
                <w:rFonts w:ascii="Times New Roman" w:hAnsi="Times New Roman" w:eastAsia="Times New Roman" w:cs="Times New Roman"/>
                <w:sz w:val="14"/>
                <w:szCs w:val="14"/>
              </w:rPr>
              <w:t xml:space="preserve">       </w:t>
            </w:r>
            <w:proofErr w:type="gramStart"/>
            <w:r>
              <w:t>evaluate</w:t>
            </w:r>
            <w:proofErr w:type="gramEnd"/>
            <w:r>
              <w:t xml:space="preserve"> the impact of social actions and their personal and social significance.</w:t>
            </w:r>
          </w:p>
        </w:tc>
        <w:tc>
          <w:tcPr>
            <w:tcW w:w="3870" w:type="dxa"/>
            <w:tcBorders>
              <w:top w:val="nil"/>
              <w:left w:val="nil"/>
              <w:bottom w:val="single" w:color="000000" w:themeColor="text1" w:sz="5" w:space="0"/>
              <w:right w:val="single" w:color="000000" w:themeColor="text1" w:sz="5" w:space="0"/>
            </w:tcBorders>
            <w:shd w:val="clear" w:color="auto" w:fill="FFFFFF" w:themeFill="background1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E15109" w:rsidRDefault="00221B6A" w14:paraId="1FA8AFA0" w14:textId="77777777">
            <w:pPr>
              <w:numPr>
                <w:ilvl w:val="0"/>
                <w:numId w:val="1"/>
              </w:numPr>
              <w:spacing w:before="240"/>
            </w:pPr>
            <w:r>
              <w:t xml:space="preserve">Where does it help? Why here? </w:t>
            </w:r>
            <w:r>
              <w:rPr>
                <w:i/>
              </w:rPr>
              <w:t>Papua New Guinea c</w:t>
            </w:r>
            <w:r>
              <w:rPr>
                <w:i/>
              </w:rPr>
              <w:t>ase study.</w:t>
            </w:r>
          </w:p>
          <w:p w:rsidR="00E15109" w:rsidRDefault="00E15109" w14:paraId="256656B5" w14:textId="77777777">
            <w:pPr>
              <w:ind w:left="720"/>
            </w:pPr>
          </w:p>
          <w:p w:rsidR="00E15109" w:rsidRDefault="00221B6A" w14:paraId="62191F77" w14:textId="77777777">
            <w:pPr>
              <w:numPr>
                <w:ilvl w:val="0"/>
                <w:numId w:val="1"/>
              </w:numPr>
            </w:pPr>
            <w:r>
              <w:t xml:space="preserve">Exploration of issues faced within community that contribute to poor eye </w:t>
            </w:r>
            <w:proofErr w:type="gramStart"/>
            <w:r>
              <w:t>health</w:t>
            </w:r>
            <w:proofErr w:type="gramEnd"/>
          </w:p>
          <w:p w:rsidR="00E15109" w:rsidRDefault="00E15109" w14:paraId="78D8FD88" w14:textId="77777777">
            <w:pPr>
              <w:ind w:left="720"/>
              <w:rPr>
                <w:rFonts w:ascii="Times New Roman" w:hAnsi="Times New Roman" w:eastAsia="Times New Roman" w:cs="Times New Roman"/>
                <w:sz w:val="14"/>
                <w:szCs w:val="14"/>
              </w:rPr>
            </w:pPr>
          </w:p>
          <w:p w:rsidR="00E15109" w:rsidRDefault="00221B6A" w14:paraId="37833A6D" w14:textId="31DFC6D5">
            <w:pPr>
              <w:numPr>
                <w:ilvl w:val="0"/>
                <w:numId w:val="1"/>
              </w:numPr>
              <w:rPr/>
            </w:pPr>
            <w:r w:rsidR="00221B6A">
              <w:rPr/>
              <w:t xml:space="preserve">Evaluate the work </w:t>
            </w:r>
            <w:r w:rsidR="12C2B80B">
              <w:rPr/>
              <w:t>T</w:t>
            </w:r>
            <w:r w:rsidR="00221B6A">
              <w:rPr/>
              <w:t xml:space="preserve">he Foundation is doing. In what ways can we </w:t>
            </w:r>
            <w:r w:rsidR="00221B6A">
              <w:rPr/>
              <w:t>assist</w:t>
            </w:r>
            <w:r w:rsidR="00221B6A">
              <w:rPr/>
              <w:t xml:space="preserve"> efforts to create change?</w:t>
            </w:r>
          </w:p>
          <w:p w:rsidR="00E15109" w:rsidRDefault="00221B6A" w14:paraId="4065305A" w14:textId="77777777">
            <w:pPr>
              <w:spacing w:before="240"/>
            </w:pPr>
            <w:r>
              <w:t xml:space="preserve"> </w:t>
            </w:r>
          </w:p>
          <w:p w:rsidR="00E15109" w:rsidRDefault="00E15109" w14:paraId="04FCD4D9" w14:textId="77777777">
            <w:pPr>
              <w:spacing w:before="240"/>
            </w:pPr>
          </w:p>
        </w:tc>
      </w:tr>
    </w:tbl>
    <w:p w:rsidR="00E15109" w:rsidRDefault="00221B6A" w14:paraId="729F948E" w14:textId="77777777">
      <w:pPr>
        <w:spacing w:before="240" w:after="240"/>
      </w:pPr>
      <w:r>
        <w:t xml:space="preserve"> </w:t>
      </w:r>
    </w:p>
    <w:p w:rsidR="00E15109" w:rsidRDefault="00E15109" w14:paraId="6F12FB00" w14:textId="77777777"/>
    <w:sectPr w:rsidR="00E15109">
      <w:pgSz w:w="11906" w:h="16838" w:orient="portrait"/>
      <w:pgMar w:top="873" w:right="566" w:bottom="873" w:left="87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11AB3"/>
    <w:multiLevelType w:val="multilevel"/>
    <w:tmpl w:val="DBBC58C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342125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109"/>
    <w:rsid w:val="00221B6A"/>
    <w:rsid w:val="00E15109"/>
    <w:rsid w:val="12C2B80B"/>
    <w:rsid w:val="1660AEBE"/>
    <w:rsid w:val="28F1DC8D"/>
    <w:rsid w:val="3CA456EA"/>
    <w:rsid w:val="6B91BD52"/>
    <w:rsid w:val="7168D63B"/>
    <w:rsid w:val="79C31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928E9"/>
  <w15:docId w15:val="{8F0C1C5B-2918-43CC-9B06-B1BF95AE2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eastAsia="Arial" w:cs="Arial"/>
        <w:sz w:val="22"/>
        <w:szCs w:val="22"/>
        <w:lang w:val="en-GB" w:eastAsia="en-N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Ellie Moore</dc:creator>
  <lastModifiedBy>Katie Moore</lastModifiedBy>
  <revision>3</revision>
  <dcterms:created xsi:type="dcterms:W3CDTF">2023-08-23T14:17:00.0000000Z</dcterms:created>
  <dcterms:modified xsi:type="dcterms:W3CDTF">2023-08-28T23:29:51.0504922Z</dcterms:modified>
</coreProperties>
</file>